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721" w:rsidRPr="007B2307" w:rsidRDefault="00BA5721" w:rsidP="00BA5721">
      <w:pPr>
        <w:jc w:val="center"/>
        <w:rPr>
          <w:rFonts w:ascii="SPD TheSans SemiLight" w:hAnsi="SPD TheSans SemiLight"/>
          <w:color w:val="000000"/>
        </w:rPr>
      </w:pPr>
    </w:p>
    <w:p w:rsidR="00BA5721" w:rsidRPr="007B2307" w:rsidRDefault="00BA5721" w:rsidP="00BA5721">
      <w:pPr>
        <w:rPr>
          <w:rFonts w:ascii="SPD TheSans SemiLight" w:hAnsi="SPD TheSans SemiLight"/>
          <w:color w:val="000000"/>
        </w:rPr>
      </w:pPr>
    </w:p>
    <w:p w:rsidR="002F035D" w:rsidRPr="007B2307" w:rsidRDefault="00BA5721" w:rsidP="002F035D">
      <w:pPr>
        <w:jc w:val="center"/>
        <w:rPr>
          <w:rFonts w:ascii="SPD TheSans SemiLight" w:hAnsi="SPD TheSans SemiLight"/>
          <w:b/>
          <w:color w:val="000000"/>
          <w:sz w:val="36"/>
          <w:szCs w:val="36"/>
        </w:rPr>
      </w:pPr>
      <w:r w:rsidRPr="007B2307">
        <w:rPr>
          <w:rFonts w:ascii="SPD TheSans SemiLight" w:hAnsi="SPD TheSans SemiLight"/>
          <w:b/>
          <w:color w:val="000000"/>
          <w:sz w:val="36"/>
          <w:szCs w:val="36"/>
        </w:rPr>
        <w:t xml:space="preserve">Diskussionsstand in der AG 60 plus </w:t>
      </w:r>
    </w:p>
    <w:p w:rsidR="00BA5721" w:rsidRPr="007B2307" w:rsidRDefault="002F035D" w:rsidP="002F035D">
      <w:pPr>
        <w:jc w:val="center"/>
        <w:rPr>
          <w:rFonts w:ascii="SPD TheSans SemiLight" w:hAnsi="SPD TheSans SemiLight"/>
          <w:b/>
          <w:color w:val="000000"/>
          <w:sz w:val="36"/>
          <w:szCs w:val="36"/>
        </w:rPr>
      </w:pPr>
      <w:r w:rsidRPr="007B2307">
        <w:rPr>
          <w:rFonts w:ascii="SPD TheSans SemiLight" w:hAnsi="SPD TheSans SemiLight"/>
          <w:b/>
          <w:color w:val="000000"/>
          <w:sz w:val="36"/>
          <w:szCs w:val="36"/>
        </w:rPr>
        <w:t>als Zuarbeit für die Perspektiv-AG Leben und Familie</w:t>
      </w:r>
    </w:p>
    <w:p w:rsidR="00BA5721" w:rsidRPr="007B2307" w:rsidRDefault="00BA5721" w:rsidP="00BA5721">
      <w:pPr>
        <w:rPr>
          <w:rFonts w:ascii="SPD TheSans SemiLight" w:hAnsi="SPD TheSans SemiLight"/>
          <w:color w:val="000000"/>
          <w:sz w:val="32"/>
          <w:szCs w:val="32"/>
        </w:rPr>
      </w:pPr>
    </w:p>
    <w:p w:rsidR="00BA5721" w:rsidRPr="007B2307" w:rsidRDefault="00BA5721" w:rsidP="00BA5721">
      <w:pPr>
        <w:rPr>
          <w:rFonts w:ascii="SPD TheSans SemiLight" w:hAnsi="SPD TheSans SemiLight"/>
          <w:color w:val="000000"/>
          <w:sz w:val="32"/>
          <w:szCs w:val="32"/>
        </w:rPr>
      </w:pPr>
    </w:p>
    <w:p w:rsidR="00726DFE" w:rsidRPr="007B2307" w:rsidRDefault="00726DFE" w:rsidP="00726DFE">
      <w:pPr>
        <w:rPr>
          <w:rFonts w:ascii="SPD TheSans SemiLight" w:hAnsi="SPD TheSans SemiLight"/>
          <w:color w:val="000000"/>
          <w:sz w:val="36"/>
          <w:szCs w:val="36"/>
        </w:rPr>
      </w:pPr>
      <w:r w:rsidRPr="007B2307">
        <w:rPr>
          <w:rFonts w:ascii="SPD TheSans SemiLight" w:hAnsi="SPD TheSans SemiLight"/>
          <w:color w:val="000000"/>
          <w:sz w:val="36"/>
          <w:szCs w:val="36"/>
        </w:rPr>
        <w:t xml:space="preserve">1. Derzeitige Situation </w:t>
      </w:r>
    </w:p>
    <w:p w:rsidR="00726DFE" w:rsidRPr="007B2307" w:rsidRDefault="00726DFE" w:rsidP="00726DFE">
      <w:pPr>
        <w:pStyle w:val="Listenabsatz"/>
        <w:rPr>
          <w:rFonts w:ascii="SPD TheSans SemiLight" w:hAnsi="SPD TheSans SemiLight"/>
          <w:color w:val="000000"/>
          <w:sz w:val="36"/>
          <w:szCs w:val="36"/>
        </w:rPr>
      </w:pPr>
    </w:p>
    <w:p w:rsidR="00726DFE" w:rsidRPr="007B2307" w:rsidRDefault="00726DFE" w:rsidP="002F035D">
      <w:pPr>
        <w:rPr>
          <w:rFonts w:ascii="SPD TheSans SemiLight" w:hAnsi="SPD TheSans SemiLight"/>
          <w:color w:val="000000"/>
          <w:sz w:val="36"/>
          <w:szCs w:val="36"/>
        </w:rPr>
      </w:pPr>
      <w:r w:rsidRPr="007B2307">
        <w:rPr>
          <w:rFonts w:ascii="SPD TheSans SemiLight" w:hAnsi="SPD TheSans SemiLight"/>
          <w:color w:val="000000"/>
          <w:sz w:val="36"/>
          <w:szCs w:val="36"/>
        </w:rPr>
        <w:t>2. Maßstab für sozialen Wohnungsbau</w:t>
      </w:r>
    </w:p>
    <w:p w:rsidR="00726DFE" w:rsidRPr="007B2307" w:rsidRDefault="00726DFE" w:rsidP="002F035D">
      <w:pPr>
        <w:rPr>
          <w:rFonts w:ascii="SPD TheSans SemiLight" w:hAnsi="SPD TheSans SemiLight"/>
          <w:color w:val="000000"/>
          <w:sz w:val="36"/>
          <w:szCs w:val="36"/>
        </w:rPr>
      </w:pPr>
    </w:p>
    <w:p w:rsidR="00726DFE" w:rsidRPr="007B2307" w:rsidRDefault="00726DFE" w:rsidP="002F035D">
      <w:pPr>
        <w:rPr>
          <w:rFonts w:ascii="SPD TheSans SemiLight" w:hAnsi="SPD TheSans SemiLight"/>
          <w:color w:val="000000"/>
          <w:sz w:val="36"/>
          <w:szCs w:val="36"/>
        </w:rPr>
      </w:pPr>
      <w:r w:rsidRPr="007B2307">
        <w:rPr>
          <w:rFonts w:ascii="SPD TheSans SemiLight" w:hAnsi="SPD TheSans SemiLight"/>
          <w:color w:val="000000"/>
          <w:sz w:val="36"/>
          <w:szCs w:val="36"/>
        </w:rPr>
        <w:t xml:space="preserve">3. Geeignete Maßnahmen    </w:t>
      </w:r>
    </w:p>
    <w:p w:rsidR="00726DFE" w:rsidRP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A</w:t>
      </w:r>
      <w:r w:rsidRPr="007B2307">
        <w:rPr>
          <w:rFonts w:ascii="SPD TheSans SemiLight" w:hAnsi="SPD TheSans SemiLight"/>
          <w:color w:val="000000"/>
          <w:sz w:val="36"/>
          <w:szCs w:val="36"/>
        </w:rPr>
        <w:tab/>
        <w:t xml:space="preserve"> Reaktivierung des Genossenschaftsgedankens</w:t>
      </w:r>
    </w:p>
    <w:p w:rsidR="007B2307" w:rsidRPr="007B2307" w:rsidRDefault="007B2307" w:rsidP="00726DFE">
      <w:pPr>
        <w:ind w:firstLine="708"/>
        <w:rPr>
          <w:rFonts w:ascii="SPD TheSans SemiLight" w:hAnsi="SPD TheSans SemiLight"/>
          <w:color w:val="000000"/>
          <w:sz w:val="36"/>
          <w:szCs w:val="36"/>
        </w:rPr>
      </w:pPr>
    </w:p>
    <w:p w:rsidR="00726DFE" w:rsidRPr="007B2307" w:rsidRDefault="00726DFE" w:rsidP="00726DFE">
      <w:pPr>
        <w:rPr>
          <w:rFonts w:ascii="SPD TheSans SemiLight" w:hAnsi="SPD TheSans SemiLight"/>
          <w:color w:val="000000"/>
          <w:sz w:val="36"/>
          <w:szCs w:val="36"/>
        </w:rPr>
      </w:pPr>
      <w:r w:rsidRPr="007B2307">
        <w:rPr>
          <w:rFonts w:ascii="SPD TheSans SemiLight" w:hAnsi="SPD TheSans SemiLight"/>
          <w:color w:val="000000"/>
          <w:sz w:val="36"/>
          <w:szCs w:val="36"/>
        </w:rPr>
        <w:tab/>
        <w:t>B</w:t>
      </w:r>
      <w:r w:rsidRPr="007B2307">
        <w:rPr>
          <w:rFonts w:ascii="SPD TheSans SemiLight" w:hAnsi="SPD TheSans SemiLight"/>
          <w:color w:val="000000"/>
          <w:sz w:val="36"/>
          <w:szCs w:val="36"/>
        </w:rPr>
        <w:tab/>
        <w:t xml:space="preserve"> Durchmischung der Quartiere</w:t>
      </w:r>
    </w:p>
    <w:p w:rsidR="007B2307" w:rsidRPr="007B2307" w:rsidRDefault="007B2307" w:rsidP="00726DFE">
      <w:pPr>
        <w:rPr>
          <w:rFonts w:ascii="SPD TheSans SemiLight" w:hAnsi="SPD TheSans SemiLight"/>
          <w:color w:val="000000"/>
          <w:sz w:val="36"/>
          <w:szCs w:val="36"/>
        </w:rPr>
      </w:pPr>
    </w:p>
    <w:p w:rsidR="00726DFE" w:rsidRP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C</w:t>
      </w:r>
      <w:r w:rsidRPr="007B2307">
        <w:rPr>
          <w:rFonts w:ascii="SPD TheSans SemiLight" w:hAnsi="SPD TheSans SemiLight"/>
          <w:color w:val="000000"/>
          <w:sz w:val="36"/>
          <w:szCs w:val="36"/>
        </w:rPr>
        <w:tab/>
        <w:t xml:space="preserve"> Finanzierung</w:t>
      </w:r>
    </w:p>
    <w:p w:rsidR="007B2307" w:rsidRPr="007B2307" w:rsidRDefault="007B2307" w:rsidP="00726DFE">
      <w:pPr>
        <w:ind w:firstLine="708"/>
        <w:rPr>
          <w:rFonts w:ascii="SPD TheSans SemiLight" w:hAnsi="SPD TheSans SemiLight"/>
          <w:color w:val="000000"/>
          <w:sz w:val="36"/>
          <w:szCs w:val="36"/>
        </w:rPr>
      </w:pPr>
    </w:p>
    <w:p w:rsidR="00726DFE" w:rsidRP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D</w:t>
      </w:r>
      <w:r w:rsidRPr="007B2307">
        <w:rPr>
          <w:rFonts w:ascii="SPD TheSans SemiLight" w:hAnsi="SPD TheSans SemiLight"/>
          <w:color w:val="000000"/>
          <w:sz w:val="36"/>
          <w:szCs w:val="36"/>
        </w:rPr>
        <w:tab/>
        <w:t xml:space="preserve"> Aktive Bodenpolitik der Städte und Gemeinden</w:t>
      </w:r>
    </w:p>
    <w:p w:rsidR="007B2307" w:rsidRPr="007B2307" w:rsidRDefault="007B2307" w:rsidP="00726DFE">
      <w:pPr>
        <w:ind w:firstLine="708"/>
        <w:rPr>
          <w:rFonts w:ascii="SPD TheSans SemiLight" w:hAnsi="SPD TheSans SemiLight"/>
          <w:color w:val="000000"/>
          <w:sz w:val="36"/>
          <w:szCs w:val="36"/>
        </w:rPr>
      </w:pPr>
    </w:p>
    <w:p w:rsidR="00726DFE" w:rsidRP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E</w:t>
      </w:r>
      <w:r w:rsidRPr="007B2307">
        <w:rPr>
          <w:rFonts w:ascii="SPD TheSans SemiLight" w:hAnsi="SPD TheSans SemiLight"/>
          <w:color w:val="000000"/>
          <w:sz w:val="36"/>
          <w:szCs w:val="36"/>
        </w:rPr>
        <w:tab/>
        <w:t xml:space="preserve"> Genehmigungsverfahren</w:t>
      </w:r>
    </w:p>
    <w:p w:rsidR="007B2307" w:rsidRPr="007B2307" w:rsidRDefault="007B2307" w:rsidP="00726DFE">
      <w:pPr>
        <w:ind w:firstLine="708"/>
        <w:rPr>
          <w:rFonts w:ascii="SPD TheSans SemiLight" w:hAnsi="SPD TheSans SemiLight"/>
          <w:color w:val="000000"/>
          <w:sz w:val="36"/>
          <w:szCs w:val="36"/>
        </w:rPr>
      </w:pPr>
    </w:p>
    <w:p w:rsidR="00726DFE" w:rsidRP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F</w:t>
      </w:r>
      <w:r w:rsidRPr="007B2307">
        <w:rPr>
          <w:rFonts w:ascii="SPD TheSans SemiLight" w:hAnsi="SPD TheSans SemiLight"/>
          <w:color w:val="000000"/>
          <w:sz w:val="36"/>
          <w:szCs w:val="36"/>
        </w:rPr>
        <w:tab/>
        <w:t xml:space="preserve"> Vermögensbildung für "Schwellenhaushalte"</w:t>
      </w:r>
    </w:p>
    <w:p w:rsidR="007B2307" w:rsidRPr="007B2307" w:rsidRDefault="007B2307" w:rsidP="00726DFE">
      <w:pPr>
        <w:ind w:firstLine="708"/>
        <w:rPr>
          <w:rFonts w:ascii="SPD TheSans SemiLight" w:hAnsi="SPD TheSans SemiLight"/>
          <w:color w:val="000000"/>
          <w:sz w:val="36"/>
          <w:szCs w:val="36"/>
        </w:rPr>
      </w:pPr>
    </w:p>
    <w:p w:rsidR="007B2307" w:rsidRDefault="00726DFE" w:rsidP="00726DFE">
      <w:pPr>
        <w:ind w:firstLine="708"/>
        <w:rPr>
          <w:rFonts w:ascii="SPD TheSans SemiLight" w:hAnsi="SPD TheSans SemiLight"/>
          <w:color w:val="000000"/>
          <w:sz w:val="36"/>
          <w:szCs w:val="36"/>
        </w:rPr>
      </w:pPr>
      <w:r w:rsidRPr="007B2307">
        <w:rPr>
          <w:rFonts w:ascii="SPD TheSans SemiLight" w:hAnsi="SPD TheSans SemiLight"/>
          <w:color w:val="000000"/>
          <w:sz w:val="36"/>
          <w:szCs w:val="36"/>
        </w:rPr>
        <w:t>G</w:t>
      </w:r>
      <w:r w:rsidRPr="007B2307">
        <w:rPr>
          <w:rFonts w:ascii="SPD TheSans SemiLight" w:hAnsi="SPD TheSans SemiLight"/>
          <w:color w:val="000000"/>
          <w:sz w:val="36"/>
          <w:szCs w:val="36"/>
        </w:rPr>
        <w:tab/>
        <w:t xml:space="preserve">Grundlagenberatung für partnerschaftlich </w:t>
      </w:r>
    </w:p>
    <w:p w:rsidR="00726DFE" w:rsidRPr="007B2307" w:rsidRDefault="007B2307" w:rsidP="00726DFE">
      <w:pPr>
        <w:ind w:firstLine="708"/>
        <w:rPr>
          <w:rFonts w:ascii="SPD TheSans SemiLight" w:hAnsi="SPD TheSans SemiLight"/>
          <w:color w:val="000000"/>
          <w:sz w:val="36"/>
          <w:szCs w:val="36"/>
        </w:rPr>
      </w:pPr>
      <w:r>
        <w:rPr>
          <w:rFonts w:ascii="SPD TheSans SemiLight" w:hAnsi="SPD TheSans SemiLight"/>
          <w:color w:val="000000"/>
          <w:sz w:val="36"/>
          <w:szCs w:val="36"/>
        </w:rPr>
        <w:tab/>
        <w:t>o</w:t>
      </w:r>
      <w:r w:rsidR="00726DFE" w:rsidRPr="007B2307">
        <w:rPr>
          <w:rFonts w:ascii="SPD TheSans SemiLight" w:hAnsi="SPD TheSans SemiLight"/>
          <w:color w:val="000000"/>
          <w:sz w:val="36"/>
          <w:szCs w:val="36"/>
        </w:rPr>
        <w:t>rientiertes</w:t>
      </w:r>
      <w:r>
        <w:rPr>
          <w:rFonts w:ascii="SPD TheSans SemiLight" w:hAnsi="SPD TheSans SemiLight"/>
          <w:color w:val="000000"/>
          <w:sz w:val="36"/>
          <w:szCs w:val="36"/>
        </w:rPr>
        <w:t xml:space="preserve"> </w:t>
      </w:r>
      <w:r w:rsidR="00726DFE" w:rsidRPr="007B2307">
        <w:rPr>
          <w:rFonts w:ascii="SPD TheSans SemiLight" w:hAnsi="SPD TheSans SemiLight"/>
          <w:color w:val="000000"/>
          <w:sz w:val="36"/>
          <w:szCs w:val="36"/>
        </w:rPr>
        <w:t>Wohnen</w:t>
      </w:r>
    </w:p>
    <w:p w:rsidR="00D87690" w:rsidRPr="007B2307" w:rsidRDefault="00D87690" w:rsidP="00726DFE">
      <w:pPr>
        <w:ind w:firstLine="708"/>
        <w:rPr>
          <w:rFonts w:ascii="SPD TheSans SemiLight" w:hAnsi="SPD TheSans SemiLight"/>
          <w:color w:val="000000"/>
          <w:sz w:val="32"/>
          <w:szCs w:val="32"/>
        </w:rPr>
      </w:pPr>
    </w:p>
    <w:p w:rsidR="00D87690" w:rsidRPr="007B2307" w:rsidRDefault="00D87690" w:rsidP="00726DFE">
      <w:pPr>
        <w:ind w:firstLine="708"/>
        <w:rPr>
          <w:rFonts w:ascii="SPD TheSans SemiLight" w:hAnsi="SPD TheSans SemiLight"/>
          <w:color w:val="000000"/>
          <w:sz w:val="32"/>
          <w:szCs w:val="32"/>
        </w:rPr>
      </w:pPr>
    </w:p>
    <w:p w:rsidR="00726DFE" w:rsidRPr="007B2307" w:rsidRDefault="00726DFE" w:rsidP="002F035D">
      <w:pPr>
        <w:rPr>
          <w:rFonts w:ascii="SPD TheSans SemiLight" w:hAnsi="SPD TheSans SemiLight"/>
          <w:color w:val="000000"/>
          <w:sz w:val="32"/>
          <w:szCs w:val="32"/>
        </w:rPr>
      </w:pPr>
    </w:p>
    <w:p w:rsidR="00726DFE" w:rsidRPr="007B2307" w:rsidRDefault="00726DFE" w:rsidP="002F035D">
      <w:pPr>
        <w:rPr>
          <w:rFonts w:ascii="SPD TheSans SemiLight" w:hAnsi="SPD TheSans SemiLight"/>
          <w:color w:val="000000"/>
          <w:sz w:val="32"/>
          <w:szCs w:val="32"/>
        </w:rPr>
      </w:pPr>
    </w:p>
    <w:p w:rsidR="007B2307" w:rsidRPr="004450BB" w:rsidRDefault="007B2307" w:rsidP="007B2307">
      <w:pPr>
        <w:spacing w:line="255" w:lineRule="atLeast"/>
        <w:rPr>
          <w:rFonts w:ascii="SPD TheSans SemiLight" w:eastAsia="Times New Roman" w:hAnsi="SPD TheSans SemiLight" w:cs="Arial"/>
          <w:b/>
          <w:sz w:val="24"/>
          <w:szCs w:val="24"/>
          <w:lang w:eastAsia="de-DE"/>
        </w:rPr>
      </w:pPr>
      <w:r w:rsidRPr="007B2307">
        <w:rPr>
          <w:rFonts w:ascii="SPD TheSans SemiLight" w:eastAsia="Times New Roman" w:hAnsi="SPD TheSans SemiLight" w:cs="Arial"/>
          <w:b/>
          <w:bCs/>
          <w:sz w:val="24"/>
          <w:szCs w:val="24"/>
          <w:lang w:eastAsia="de-DE"/>
        </w:rPr>
        <w:t>Politische Zielsetzung unseres Diskussionsbeitrages</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Wohnen ist ein Grundbedürfnis.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Wir fühlen uns verpflichtet, dies menschenwürdig und nach sozialdemokratisch geprägten</w:t>
      </w:r>
      <w:r>
        <w:rPr>
          <w:rFonts w:ascii="SPD TheSans SemiLight" w:eastAsia="Times New Roman" w:hAnsi="SPD TheSans SemiLight" w:cs="Arial"/>
          <w:sz w:val="24"/>
          <w:szCs w:val="24"/>
          <w:lang w:eastAsia="de-DE"/>
        </w:rPr>
        <w:t xml:space="preserve"> </w:t>
      </w:r>
      <w:r w:rsidRPr="007B2307">
        <w:rPr>
          <w:rFonts w:ascii="SPD TheSans SemiLight" w:eastAsia="Times New Roman" w:hAnsi="SPD TheSans SemiLight" w:cs="Arial"/>
          <w:sz w:val="24"/>
          <w:szCs w:val="24"/>
          <w:lang w:eastAsia="de-DE"/>
        </w:rPr>
        <w:t>Wertvorstellungen umzusetzen. </w:t>
      </w:r>
    </w:p>
    <w:p w:rsidR="007B2307" w:rsidRPr="004450BB" w:rsidRDefault="007B2307" w:rsidP="007B2307">
      <w:pPr>
        <w:spacing w:line="255" w:lineRule="atLeast"/>
        <w:rPr>
          <w:rFonts w:ascii="SPD TheSans SemiLight" w:eastAsia="Times New Roman" w:hAnsi="SPD TheSans SemiLight" w:cs="Arial"/>
          <w:b/>
          <w:sz w:val="24"/>
          <w:szCs w:val="24"/>
          <w:lang w:eastAsia="de-DE"/>
        </w:rPr>
      </w:pPr>
      <w:r w:rsidRPr="007B2307">
        <w:rPr>
          <w:rFonts w:ascii="SPD TheSans SemiLight" w:eastAsia="Times New Roman" w:hAnsi="SPD TheSans SemiLight" w:cs="Arial"/>
          <w:b/>
          <w:sz w:val="24"/>
          <w:szCs w:val="24"/>
          <w:lang w:eastAsia="de-DE"/>
        </w:rPr>
        <w:t> </w:t>
      </w:r>
    </w:p>
    <w:p w:rsidR="007B2307" w:rsidRPr="004450BB" w:rsidRDefault="007B2307" w:rsidP="007B2307">
      <w:pPr>
        <w:spacing w:line="255" w:lineRule="atLeast"/>
        <w:rPr>
          <w:rFonts w:ascii="SPD TheSans SemiLight" w:eastAsia="Times New Roman" w:hAnsi="SPD TheSans SemiLight" w:cs="Arial"/>
          <w:b/>
          <w:sz w:val="24"/>
          <w:szCs w:val="24"/>
          <w:lang w:eastAsia="de-DE"/>
        </w:rPr>
      </w:pPr>
      <w:r w:rsidRPr="007B2307">
        <w:rPr>
          <w:rFonts w:ascii="SPD TheSans SemiLight" w:eastAsia="Times New Roman" w:hAnsi="SPD TheSans SemiLight" w:cs="Arial"/>
          <w:b/>
          <w:bCs/>
          <w:sz w:val="24"/>
          <w:szCs w:val="24"/>
          <w:lang w:eastAsia="de-DE"/>
        </w:rPr>
        <w:t>1. Dringender Handlungsbedarf</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Der Ausverkauf der in Besitz des Bundes, des Landes und der Kommunen befindlichen Sozialwohnungen ist unbedingt zu stoppen.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Die unterschiedlichen Bedarfe von Städten und dem ländlichen Raum, sowie der Trend auf dem Wohnungsmarkt, müssen berücksichtig werden. Die Potenziale in der Raumplanung, vor allen Dingen das  Angebot an Flächen für den sozialen Wohnungsbau,  sind voll auszuschöpfen.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05724A" w:rsidRPr="0005724A" w:rsidRDefault="007B2307" w:rsidP="007B2307">
      <w:pPr>
        <w:spacing w:line="255" w:lineRule="atLeast"/>
        <w:ind w:left="284"/>
        <w:rPr>
          <w:rFonts w:ascii="SPD TheSans SemiLight" w:eastAsia="Times New Roman" w:hAnsi="SPD TheSans SemiLight" w:cs="Arial"/>
          <w:sz w:val="24"/>
          <w:szCs w:val="24"/>
          <w:lang w:eastAsia="de-DE"/>
        </w:rPr>
      </w:pPr>
      <w:r w:rsidRPr="0005724A">
        <w:rPr>
          <w:rFonts w:ascii="SPD TheSans SemiLight" w:eastAsia="Times New Roman" w:hAnsi="SPD TheSans SemiLight" w:cs="Arial"/>
          <w:sz w:val="24"/>
          <w:szCs w:val="24"/>
          <w:lang w:eastAsia="de-DE"/>
        </w:rPr>
        <w:t xml:space="preserve">Die </w:t>
      </w:r>
      <w:r w:rsidR="00706221" w:rsidRPr="0005724A">
        <w:rPr>
          <w:rFonts w:ascii="SPD TheSans SemiLight" w:eastAsia="Times New Roman" w:hAnsi="SPD TheSans SemiLight" w:cs="Arial"/>
          <w:sz w:val="24"/>
          <w:szCs w:val="24"/>
          <w:lang w:eastAsia="de-DE"/>
        </w:rPr>
        <w:t xml:space="preserve">Baukosten </w:t>
      </w:r>
      <w:r w:rsidRPr="0005724A">
        <w:rPr>
          <w:rFonts w:ascii="SPD TheSans SemiLight" w:eastAsia="Times New Roman" w:hAnsi="SPD TheSans SemiLight" w:cs="Arial"/>
          <w:sz w:val="24"/>
          <w:szCs w:val="24"/>
          <w:lang w:eastAsia="de-DE"/>
        </w:rPr>
        <w:t xml:space="preserve">sind </w:t>
      </w:r>
      <w:r w:rsidR="00706221" w:rsidRPr="0005724A">
        <w:rPr>
          <w:rFonts w:ascii="SPD TheSans SemiLight" w:eastAsia="Times New Roman" w:hAnsi="SPD TheSans SemiLight" w:cs="Arial"/>
          <w:sz w:val="24"/>
          <w:szCs w:val="24"/>
          <w:lang w:eastAsia="de-DE"/>
        </w:rPr>
        <w:t xml:space="preserve">umweltfreundlich </w:t>
      </w:r>
      <w:r w:rsidRPr="0005724A">
        <w:rPr>
          <w:rFonts w:ascii="SPD TheSans SemiLight" w:eastAsia="Times New Roman" w:hAnsi="SPD TheSans SemiLight" w:cs="Arial"/>
          <w:sz w:val="24"/>
          <w:szCs w:val="24"/>
          <w:lang w:eastAsia="de-DE"/>
        </w:rPr>
        <w:t>zu reduzieren.</w:t>
      </w:r>
      <w:r w:rsidR="00706221" w:rsidRPr="0005724A">
        <w:rPr>
          <w:rFonts w:ascii="SPD TheSans SemiLight" w:eastAsia="Times New Roman" w:hAnsi="SPD TheSans SemiLight" w:cs="Arial"/>
          <w:sz w:val="24"/>
          <w:szCs w:val="24"/>
          <w:lang w:eastAsia="de-DE"/>
        </w:rPr>
        <w:t xml:space="preserve"> </w:t>
      </w:r>
      <w:r w:rsidR="0005724A" w:rsidRPr="0005724A">
        <w:rPr>
          <w:rFonts w:ascii="SPD TheSans SemiLight" w:eastAsia="Times New Roman" w:hAnsi="SPD TheSans SemiLight" w:cs="Arial"/>
          <w:sz w:val="24"/>
          <w:szCs w:val="24"/>
          <w:lang w:eastAsia="de-DE"/>
        </w:rPr>
        <w:t xml:space="preserve">Die </w:t>
      </w:r>
      <w:r w:rsidR="0005724A" w:rsidRPr="0005724A">
        <w:rPr>
          <w:rFonts w:ascii="SPD TheSans SemiLight" w:eastAsia="Times New Roman" w:hAnsi="SPD TheSans SemiLight" w:cs="Arial"/>
          <w:sz w:val="24"/>
          <w:szCs w:val="24"/>
          <w:lang w:eastAsia="de-DE"/>
        </w:rPr>
        <w:t>Refinanzierung</w:t>
      </w:r>
      <w:r w:rsidR="0005724A" w:rsidRPr="0005724A">
        <w:rPr>
          <w:rFonts w:ascii="SPD TheSans SemiLight" w:eastAsia="Times New Roman" w:hAnsi="SPD TheSans SemiLight" w:cs="Arial"/>
          <w:sz w:val="24"/>
          <w:szCs w:val="24"/>
          <w:lang w:eastAsia="de-DE"/>
        </w:rPr>
        <w:t xml:space="preserve"> der </w:t>
      </w:r>
      <w:r w:rsidR="0005724A" w:rsidRPr="0005724A">
        <w:rPr>
          <w:rFonts w:ascii="SPD TheSans SemiLight" w:eastAsia="Times New Roman" w:hAnsi="SPD TheSans SemiLight" w:cs="Arial"/>
          <w:sz w:val="24"/>
          <w:szCs w:val="24"/>
          <w:lang w:eastAsia="de-DE"/>
        </w:rPr>
        <w:t>ene</w:t>
      </w:r>
      <w:r w:rsidR="0005724A" w:rsidRPr="0005724A">
        <w:rPr>
          <w:rFonts w:ascii="SPD TheSans SemiLight" w:eastAsia="Times New Roman" w:hAnsi="SPD TheSans SemiLight" w:cs="Arial"/>
          <w:sz w:val="24"/>
          <w:szCs w:val="24"/>
          <w:lang w:eastAsia="de-DE"/>
        </w:rPr>
        <w:t xml:space="preserve">rgetischen Sanierung </w:t>
      </w:r>
      <w:r w:rsidR="0005724A" w:rsidRPr="0005724A">
        <w:rPr>
          <w:rFonts w:ascii="SPD TheSans SemiLight" w:eastAsia="Times New Roman" w:hAnsi="SPD TheSans SemiLight" w:cs="Arial"/>
          <w:sz w:val="24"/>
          <w:szCs w:val="24"/>
          <w:lang w:eastAsia="de-DE"/>
        </w:rPr>
        <w:t xml:space="preserve">darf das </w:t>
      </w:r>
      <w:r w:rsidR="0005724A" w:rsidRPr="0005724A">
        <w:rPr>
          <w:rFonts w:ascii="SPD TheSans SemiLight" w:eastAsia="Times New Roman" w:hAnsi="SPD TheSans SemiLight" w:cs="Arial"/>
          <w:sz w:val="24"/>
          <w:szCs w:val="24"/>
          <w:lang w:eastAsia="de-DE"/>
        </w:rPr>
        <w:t xml:space="preserve">bestehende </w:t>
      </w:r>
      <w:r w:rsidR="0005724A" w:rsidRPr="0005724A">
        <w:rPr>
          <w:rFonts w:ascii="SPD TheSans SemiLight" w:eastAsia="Times New Roman" w:hAnsi="SPD TheSans SemiLight" w:cs="Arial"/>
          <w:sz w:val="24"/>
          <w:szCs w:val="24"/>
          <w:lang w:eastAsia="de-DE"/>
        </w:rPr>
        <w:t>Mieterverhältnis n</w:t>
      </w:r>
      <w:r w:rsidR="0005724A" w:rsidRPr="0005724A">
        <w:rPr>
          <w:rFonts w:ascii="SPD TheSans SemiLight" w:eastAsia="Times New Roman" w:hAnsi="SPD TheSans SemiLight" w:cs="Arial"/>
          <w:sz w:val="24"/>
          <w:szCs w:val="24"/>
          <w:lang w:eastAsia="de-DE"/>
        </w:rPr>
        <w:t>i</w:t>
      </w:r>
      <w:r w:rsidR="0005724A" w:rsidRPr="0005724A">
        <w:rPr>
          <w:rFonts w:ascii="SPD TheSans SemiLight" w:eastAsia="Times New Roman" w:hAnsi="SPD TheSans SemiLight" w:cs="Arial"/>
          <w:sz w:val="24"/>
          <w:szCs w:val="24"/>
          <w:lang w:eastAsia="de-DE"/>
        </w:rPr>
        <w:t>cht gefährden</w:t>
      </w:r>
      <w:r w:rsidR="0005724A" w:rsidRPr="0005724A">
        <w:rPr>
          <w:rFonts w:ascii="SPD TheSans SemiLight" w:eastAsia="Times New Roman" w:hAnsi="SPD TheSans SemiLight" w:cs="Arial"/>
          <w:sz w:val="24"/>
          <w:szCs w:val="24"/>
          <w:lang w:eastAsia="de-DE"/>
        </w:rPr>
        <w:t xml:space="preserve">. </w:t>
      </w:r>
    </w:p>
    <w:p w:rsidR="007B2307" w:rsidRPr="0005724A" w:rsidRDefault="007B2307" w:rsidP="007B2307">
      <w:pPr>
        <w:spacing w:line="255" w:lineRule="atLeast"/>
        <w:ind w:left="284"/>
        <w:rPr>
          <w:rFonts w:ascii="SPD TheSans SemiLight" w:eastAsia="Times New Roman" w:hAnsi="SPD TheSans SemiLight" w:cs="Arial"/>
          <w:sz w:val="24"/>
          <w:szCs w:val="24"/>
          <w:lang w:eastAsia="de-DE"/>
        </w:rPr>
      </w:pPr>
      <w:r w:rsidRPr="0005724A">
        <w:rPr>
          <w:rFonts w:ascii="SPD TheSans SemiLight" w:eastAsia="Times New Roman" w:hAnsi="SPD TheSans SemiLight" w:cs="Arial"/>
          <w:sz w:val="24"/>
          <w:szCs w:val="24"/>
          <w:lang w:eastAsia="de-DE"/>
        </w:rPr>
        <w:t>Trotzdem muss die verstärkte Nutzung der Möglichkeiten erneuerbarer Energien, und von Fernwärme- und Nahwärmenetzen Vorrang haben.</w:t>
      </w:r>
      <w:bookmarkStart w:id="0" w:name="_GoBack"/>
      <w:bookmarkEnd w:id="0"/>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Eine spürbare Steigerung beim Wohnungsbau ist nur zu schaffen, wenn sich öffentliche und private Investoren engagieren.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r w:rsidRPr="007B2307">
        <w:rPr>
          <w:rFonts w:ascii="SPD TheSans SemiLight" w:eastAsia="Times New Roman" w:hAnsi="SPD TheSans SemiLight" w:cs="Arial"/>
          <w:b/>
          <w:bCs/>
          <w:sz w:val="24"/>
          <w:szCs w:val="24"/>
          <w:lang w:eastAsia="de-DE"/>
        </w:rPr>
        <w:t>2. Maßstab für sozialen Wohnungsbau</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Mieten von Sozialwohnungen sind ausnahmslos a</w:t>
      </w:r>
      <w:r w:rsidR="00706221">
        <w:rPr>
          <w:rFonts w:ascii="SPD TheSans SemiLight" w:eastAsia="Times New Roman" w:hAnsi="SPD TheSans SemiLight" w:cs="Arial"/>
          <w:sz w:val="24"/>
          <w:szCs w:val="24"/>
          <w:lang w:eastAsia="de-DE"/>
        </w:rPr>
        <w:t xml:space="preserve">n den örtlichen </w:t>
      </w:r>
      <w:r w:rsidRPr="007B2307">
        <w:rPr>
          <w:rFonts w:ascii="SPD TheSans SemiLight" w:eastAsia="Times New Roman" w:hAnsi="SPD TheSans SemiLight" w:cs="Arial"/>
          <w:sz w:val="24"/>
          <w:szCs w:val="24"/>
          <w:lang w:eastAsia="de-DE"/>
        </w:rPr>
        <w:t>Mietspiegel zu binden. Städte und Kommunen ohne Mietspiegel müssen sich an der ortsüblichen Vergleichsmiete orientieren.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Wir fordern eine </w:t>
      </w:r>
      <w:r w:rsidR="00706221">
        <w:rPr>
          <w:rFonts w:ascii="SPD TheSans SemiLight" w:eastAsia="Times New Roman" w:hAnsi="SPD TheSans SemiLight" w:cs="Arial"/>
          <w:sz w:val="24"/>
          <w:szCs w:val="24"/>
          <w:lang w:eastAsia="de-DE"/>
        </w:rPr>
        <w:t xml:space="preserve">regional angepasste </w:t>
      </w:r>
      <w:r w:rsidRPr="007B2307">
        <w:rPr>
          <w:rFonts w:ascii="SPD TheSans SemiLight" w:eastAsia="Times New Roman" w:hAnsi="SPD TheSans SemiLight" w:cs="Arial"/>
          <w:sz w:val="24"/>
          <w:szCs w:val="24"/>
          <w:lang w:eastAsia="de-DE"/>
        </w:rPr>
        <w:t>Mietobergrenze für Sozialwohnungen.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Die Einkommensgrenzen für Sozialwohnung müssen regelmäßig an die Lebens- und Einkommensverhältnisse angepasst werden.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b/>
          <w:bCs/>
          <w:sz w:val="24"/>
          <w:szCs w:val="24"/>
          <w:lang w:eastAsia="de-DE"/>
        </w:rPr>
        <w:t>3. Geeignete Maßnahmen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a) </w:t>
      </w:r>
      <w:r w:rsidRPr="007B2307">
        <w:rPr>
          <w:rFonts w:ascii="SPD TheSans SemiLight" w:eastAsia="Times New Roman" w:hAnsi="SPD TheSans SemiLight" w:cs="Arial"/>
          <w:b/>
          <w:bCs/>
          <w:sz w:val="24"/>
          <w:szCs w:val="24"/>
          <w:lang w:eastAsia="de-DE"/>
        </w:rPr>
        <w:t>Reaktivierung des Genossenschaftsgedankens</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Hierunter verstehen wir die Stärkung der kommunalen, gemein</w:t>
      </w:r>
      <w:r w:rsidRPr="007B2307">
        <w:rPr>
          <w:rFonts w:ascii="SPD TheSans SemiLight" w:eastAsia="Times New Roman" w:hAnsi="SPD TheSans SemiLight" w:cs="Arial"/>
          <w:sz w:val="24"/>
          <w:szCs w:val="24"/>
          <w:lang w:eastAsia="de-DE"/>
        </w:rPr>
        <w:softHyphen/>
        <w:t>nützigen, privatwirtschaftlichen Wohnungsgenossenschaften.*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b) </w:t>
      </w:r>
      <w:r w:rsidRPr="007B2307">
        <w:rPr>
          <w:rFonts w:ascii="SPD TheSans SemiLight" w:eastAsia="Times New Roman" w:hAnsi="SPD TheSans SemiLight" w:cs="Arial"/>
          <w:b/>
          <w:bCs/>
          <w:sz w:val="24"/>
          <w:szCs w:val="24"/>
          <w:lang w:eastAsia="de-DE"/>
        </w:rPr>
        <w:t>Durchmischung der Quartiere</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Ziel von Planung und Umbau der Quartiere ist eine gute Lebens</w:t>
      </w:r>
      <w:r w:rsidRPr="007B2307">
        <w:rPr>
          <w:rFonts w:ascii="SPD TheSans SemiLight" w:eastAsia="Times New Roman" w:hAnsi="SPD TheSans SemiLight" w:cs="Arial"/>
          <w:sz w:val="24"/>
          <w:szCs w:val="24"/>
          <w:lang w:eastAsia="de-DE"/>
        </w:rPr>
        <w:softHyphen/>
        <w:t>qualität für alle Menschen. Deshalb ist auf eine sozial</w:t>
      </w:r>
      <w:r w:rsidRPr="007B2307">
        <w:rPr>
          <w:rFonts w:ascii="SPD TheSans SemiLight" w:eastAsia="Times New Roman" w:hAnsi="SPD TheSans SemiLight" w:cs="Arial"/>
          <w:sz w:val="24"/>
          <w:szCs w:val="24"/>
          <w:lang w:eastAsia="de-DE"/>
        </w:rPr>
        <w:softHyphen/>
        <w:t>verträgliche Durchmischung zu achten.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Es ist ein ausgewogenes Verhältnis, bzw.  eine gesunde Mischung zwischen Mietwohnungen und Wohneigentum herzustellen.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Es sind sowohl die Interessen der Generationen, als auch die Bedürfnisse und Besonderheiten der Bewohnerinnen und Bewohner zu berücksichtigen. Das gelingt mit einem vielfältigen Angebot an Wohnformen: Mehrgenerationenhäuser, Wohnungen mit Anschluss an Sozialstationen, familien- und seniorengerechtes Wohnen,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Durch kreative Gestaltung der Mietverträge, die auch den Mietern breiten Raum für geänderte Wohnbedürfnisse im Lebenszyklus einräum</w:t>
      </w:r>
      <w:r w:rsidR="00706221">
        <w:rPr>
          <w:rFonts w:ascii="SPD TheSans SemiLight" w:eastAsia="Times New Roman" w:hAnsi="SPD TheSans SemiLight" w:cs="Arial"/>
          <w:sz w:val="24"/>
          <w:szCs w:val="24"/>
          <w:lang w:eastAsia="de-DE"/>
        </w:rPr>
        <w:t>en</w:t>
      </w:r>
      <w:r w:rsidRPr="007B2307">
        <w:rPr>
          <w:rFonts w:ascii="SPD TheSans SemiLight" w:eastAsia="Times New Roman" w:hAnsi="SPD TheSans SemiLight" w:cs="Arial"/>
          <w:sz w:val="24"/>
          <w:szCs w:val="24"/>
          <w:lang w:eastAsia="de-DE"/>
        </w:rPr>
        <w:t>, sollen die Möglichkeiten des Wohnungstausches verbessert werden. Das ist auch ein gutes Instrument gegen Fehlbelegung.</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c) </w:t>
      </w:r>
      <w:r w:rsidRPr="007B2307">
        <w:rPr>
          <w:rFonts w:ascii="SPD TheSans SemiLight" w:eastAsia="Times New Roman" w:hAnsi="SPD TheSans SemiLight" w:cs="Arial"/>
          <w:b/>
          <w:bCs/>
          <w:sz w:val="24"/>
          <w:szCs w:val="24"/>
          <w:lang w:eastAsia="de-DE"/>
        </w:rPr>
        <w:t>Finanzierung</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Um die Mietpreise zu begrenzen, sollten Zuschüsse bei Erbbaupacht</w:t>
      </w:r>
      <w:r w:rsidRPr="007B2307">
        <w:rPr>
          <w:rFonts w:ascii="SPD TheSans SemiLight" w:eastAsia="Times New Roman" w:hAnsi="SPD TheSans SemiLight" w:cs="Arial"/>
          <w:sz w:val="24"/>
          <w:szCs w:val="24"/>
          <w:lang w:eastAsia="de-DE"/>
        </w:rPr>
        <w:softHyphen/>
        <w:t>verträgen gewährt werden, bei denen die Investoren für die Laufzeit des Vertrages einen vorher ausgehandelten Mietzins garantieren.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Mit revolvierenden Fonds </w:t>
      </w:r>
      <w:r w:rsidR="00706221">
        <w:rPr>
          <w:rFonts w:ascii="SPD TheSans SemiLight" w:eastAsia="Times New Roman" w:hAnsi="SPD TheSans SemiLight" w:cs="Arial"/>
          <w:sz w:val="24"/>
          <w:szCs w:val="24"/>
          <w:lang w:eastAsia="de-DE"/>
        </w:rPr>
        <w:t xml:space="preserve">sollen Wohnungen finanziert und die </w:t>
      </w:r>
      <w:r w:rsidRPr="007B2307">
        <w:rPr>
          <w:rFonts w:ascii="SPD TheSans SemiLight" w:eastAsia="Times New Roman" w:hAnsi="SPD TheSans SemiLight" w:cs="Arial"/>
          <w:sz w:val="24"/>
          <w:szCs w:val="24"/>
          <w:lang w:eastAsia="de-DE"/>
        </w:rPr>
        <w:t xml:space="preserve"> Wohnkosten lang</w:t>
      </w:r>
      <w:r w:rsidRPr="007B2307">
        <w:rPr>
          <w:rFonts w:ascii="SPD TheSans SemiLight" w:eastAsia="Times New Roman" w:hAnsi="SPD TheSans SemiLight" w:cs="Arial"/>
          <w:sz w:val="24"/>
          <w:szCs w:val="24"/>
          <w:lang w:eastAsia="de-DE"/>
        </w:rPr>
        <w:softHyphen/>
        <w:t>fristig stabil gehalten</w:t>
      </w:r>
      <w:r w:rsidR="00706221" w:rsidRPr="00706221">
        <w:rPr>
          <w:rFonts w:ascii="SPD TheSans SemiLight" w:eastAsia="Times New Roman" w:hAnsi="SPD TheSans SemiLight" w:cs="Arial"/>
          <w:sz w:val="24"/>
          <w:szCs w:val="24"/>
          <w:lang w:eastAsia="de-DE"/>
        </w:rPr>
        <w:t xml:space="preserve"> </w:t>
      </w:r>
      <w:r w:rsidR="00706221">
        <w:rPr>
          <w:rFonts w:ascii="SPD TheSans SemiLight" w:eastAsia="Times New Roman" w:hAnsi="SPD TheSans SemiLight" w:cs="Arial"/>
          <w:sz w:val="24"/>
          <w:szCs w:val="24"/>
          <w:lang w:eastAsia="de-DE"/>
        </w:rPr>
        <w:t>werden</w:t>
      </w:r>
      <w:r w:rsidRPr="007B2307">
        <w:rPr>
          <w:rFonts w:ascii="SPD TheSans SemiLight" w:eastAsia="Times New Roman" w:hAnsi="SPD TheSans SemiLight" w:cs="Arial"/>
          <w:sz w:val="24"/>
          <w:szCs w:val="24"/>
          <w:lang w:eastAsia="de-DE"/>
        </w:rPr>
        <w:t>. Dabei wird an den Fonds zurückfließendes Geld wieder zur Finanzierung weiterer Projekte verwendet. Zins und Tilgung finanzieren somit neue Wohnungen.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06221" w:rsidP="007B2307">
      <w:pPr>
        <w:spacing w:line="255" w:lineRule="atLeast"/>
        <w:ind w:left="284"/>
        <w:rPr>
          <w:rFonts w:ascii="SPD TheSans SemiLight" w:eastAsia="Times New Roman" w:hAnsi="SPD TheSans SemiLight" w:cs="Arial"/>
          <w:sz w:val="24"/>
          <w:szCs w:val="24"/>
          <w:lang w:eastAsia="de-DE"/>
        </w:rPr>
      </w:pPr>
      <w:r>
        <w:rPr>
          <w:rFonts w:ascii="SPD TheSans SemiLight" w:eastAsia="Times New Roman" w:hAnsi="SPD TheSans SemiLight" w:cs="Arial"/>
          <w:sz w:val="24"/>
          <w:szCs w:val="24"/>
          <w:lang w:eastAsia="de-DE"/>
        </w:rPr>
        <w:t xml:space="preserve">Die Stärkung </w:t>
      </w:r>
      <w:r w:rsidR="007B2307" w:rsidRPr="007B2307">
        <w:rPr>
          <w:rFonts w:ascii="SPD TheSans SemiLight" w:eastAsia="Times New Roman" w:hAnsi="SPD TheSans SemiLight" w:cs="Arial"/>
          <w:sz w:val="24"/>
          <w:szCs w:val="24"/>
          <w:lang w:eastAsia="de-DE"/>
        </w:rPr>
        <w:t>der Objektförderung</w:t>
      </w:r>
      <w:r>
        <w:rPr>
          <w:rFonts w:ascii="SPD TheSans SemiLight" w:eastAsia="Times New Roman" w:hAnsi="SPD TheSans SemiLight" w:cs="Arial"/>
          <w:sz w:val="24"/>
          <w:szCs w:val="24"/>
          <w:lang w:eastAsia="de-DE"/>
        </w:rPr>
        <w:t xml:space="preserve"> hat Vorrang vor der Subjektförderung. </w:t>
      </w:r>
      <w:r w:rsidR="0005724A">
        <w:rPr>
          <w:rFonts w:ascii="SPD TheSans SemiLight" w:eastAsia="Times New Roman" w:hAnsi="SPD TheSans SemiLight" w:cs="Arial"/>
          <w:sz w:val="24"/>
          <w:szCs w:val="24"/>
          <w:lang w:eastAsia="de-DE"/>
        </w:rPr>
        <w:t xml:space="preserve">Die Förderung über Investitionszuschüsse hat Vorrang vor der steuerlichen Förderung.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d) </w:t>
      </w:r>
      <w:r w:rsidRPr="007B2307">
        <w:rPr>
          <w:rFonts w:ascii="SPD TheSans SemiLight" w:eastAsia="Times New Roman" w:hAnsi="SPD TheSans SemiLight" w:cs="Arial"/>
          <w:b/>
          <w:bCs/>
          <w:sz w:val="24"/>
          <w:szCs w:val="24"/>
          <w:lang w:eastAsia="de-DE"/>
        </w:rPr>
        <w:t>Aktive Bodenpolitik der Städte und Gemeinden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Wohnungsgenossenschaften sollten die Möglichkeit erhalten, in attraktiven Baugebieten Grundstücke im Erbbaurecht zu übernehmen.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Um Geld für wichtige öffentliche Aufgaben zur Verfügung zu haben und einen Schwerpunkt auf die Wohnbauförderung zu legen, z.B. auch, um die revolvierenden Fonds mit genügend Geld auszustatten, ist es notwendig, die Wertsteigerung, die </w:t>
      </w:r>
      <w:r w:rsidRPr="007B2307">
        <w:rPr>
          <w:rFonts w:ascii="SPD TheSans SemiLight" w:eastAsia="Times New Roman" w:hAnsi="SPD TheSans SemiLight" w:cs="Arial"/>
          <w:sz w:val="24"/>
          <w:szCs w:val="24"/>
          <w:lang w:eastAsia="de-DE"/>
        </w:rPr>
        <w:lastRenderedPageBreak/>
        <w:t>durch die Umwandlung in Bauland erfolgt, für die Gemeinschaft abzuschöpfen, statt diese den Baulandbesitzern zu überlassen.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Kommunen und Städte müssen ihre jeweilige Wohnungsbau- und Umbauförderung den örtlichen Bedingungen anpassen.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e) </w:t>
      </w:r>
      <w:r w:rsidRPr="007B2307">
        <w:rPr>
          <w:rFonts w:ascii="SPD TheSans SemiLight" w:eastAsia="Times New Roman" w:hAnsi="SPD TheSans SemiLight" w:cs="Arial"/>
          <w:b/>
          <w:bCs/>
          <w:sz w:val="24"/>
          <w:szCs w:val="24"/>
          <w:lang w:eastAsia="de-DE"/>
        </w:rPr>
        <w:t>Genehmigungsverfahren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Hier sind die Besonderheiten der Landesbauordnungen oftmals </w:t>
      </w:r>
      <w:r w:rsidR="0005724A">
        <w:rPr>
          <w:rFonts w:ascii="SPD TheSans SemiLight" w:eastAsia="Times New Roman" w:hAnsi="SPD TheSans SemiLight" w:cs="Arial"/>
          <w:sz w:val="24"/>
          <w:szCs w:val="24"/>
          <w:lang w:eastAsia="de-DE"/>
        </w:rPr>
        <w:t>ein Hindernis</w:t>
      </w:r>
      <w:r w:rsidRPr="007B2307">
        <w:rPr>
          <w:rFonts w:ascii="SPD TheSans SemiLight" w:eastAsia="Times New Roman" w:hAnsi="SPD TheSans SemiLight" w:cs="Arial"/>
          <w:sz w:val="24"/>
          <w:szCs w:val="24"/>
          <w:lang w:eastAsia="de-DE"/>
        </w:rPr>
        <w:t>, wenn es darum geht für ganz Deutschland gültige Bedingungen zu formulieren. Wir fordern eine bundesweite Anpassung, zumindest für den Bereich des sozialen Wohnungsbaus.</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Bei besonders öffentlich frequentierten Plätzen muss die Infrastruktur den Bedürfnissen angepasst werden, z.B. müssen genügend öffentliche Toiletten und Sitzgelegenheiten zur Verfügung stehen.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f) </w:t>
      </w:r>
      <w:r w:rsidRPr="007B2307">
        <w:rPr>
          <w:rFonts w:ascii="SPD TheSans SemiLight" w:eastAsia="Times New Roman" w:hAnsi="SPD TheSans SemiLight" w:cs="Arial"/>
          <w:b/>
          <w:bCs/>
          <w:sz w:val="24"/>
          <w:szCs w:val="24"/>
          <w:lang w:eastAsia="de-DE"/>
        </w:rPr>
        <w:t>Vermögensbildung für "Schwellenhaushalte"</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Haushalten, denen es ohne staatliche Förderung finanziell nicht möglich ist, Wohneigentum zu erwerben, </w:t>
      </w:r>
      <w:r w:rsidR="0005724A">
        <w:rPr>
          <w:rFonts w:ascii="SPD TheSans SemiLight" w:eastAsia="Times New Roman" w:hAnsi="SPD TheSans SemiLight" w:cs="Arial"/>
          <w:sz w:val="24"/>
          <w:szCs w:val="24"/>
          <w:lang w:eastAsia="de-DE"/>
        </w:rPr>
        <w:t xml:space="preserve">sollen </w:t>
      </w:r>
      <w:r w:rsidRPr="007B2307">
        <w:rPr>
          <w:rFonts w:ascii="SPD TheSans SemiLight" w:eastAsia="Times New Roman" w:hAnsi="SPD TheSans SemiLight" w:cs="Arial"/>
          <w:sz w:val="24"/>
          <w:szCs w:val="24"/>
          <w:lang w:eastAsia="de-DE"/>
        </w:rPr>
        <w:t>zukünftig wieder mehr gefördert werden.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xml:space="preserve">g) </w:t>
      </w:r>
      <w:r w:rsidRPr="007B2307">
        <w:rPr>
          <w:rFonts w:ascii="SPD TheSans SemiLight" w:eastAsia="Times New Roman" w:hAnsi="SPD TheSans SemiLight" w:cs="Arial"/>
          <w:b/>
          <w:bCs/>
          <w:sz w:val="24"/>
          <w:szCs w:val="24"/>
          <w:lang w:eastAsia="de-DE"/>
        </w:rPr>
        <w:t>Grundlagenberatung für partnerschaftlich orientiertes Wohnen</w:t>
      </w:r>
    </w:p>
    <w:p w:rsidR="007B2307" w:rsidRPr="004450BB" w:rsidRDefault="007B2307" w:rsidP="007B2307">
      <w:pPr>
        <w:spacing w:line="255" w:lineRule="atLeast"/>
        <w:ind w:left="284"/>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Von der Idee neue Formen partnerschaftlichen Wohnens zu schaffen bis zur Umsetzung sind viele Hürden zu nehmen. Unser Ziel ist deshalb die Etablierung einer neuen, nicht kommerziellen Beratungs</w:t>
      </w:r>
      <w:r w:rsidRPr="007B2307">
        <w:rPr>
          <w:rFonts w:ascii="SPD TheSans SemiLight" w:eastAsia="Times New Roman" w:hAnsi="SPD TheSans SemiLight" w:cs="Arial"/>
          <w:sz w:val="24"/>
          <w:szCs w:val="24"/>
          <w:lang w:eastAsia="de-DE"/>
        </w:rPr>
        <w:softHyphen/>
        <w:t>kultur für die Bereiche Recht, Finanzen, Genehmigungen, Bau, Netzwerkaufbau.</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*Argumente</w:t>
      </w:r>
      <w:r>
        <w:rPr>
          <w:rFonts w:ascii="SPD TheSans SemiLight" w:eastAsia="Times New Roman" w:hAnsi="SPD TheSans SemiLight" w:cs="Arial"/>
          <w:i/>
          <w:iCs/>
          <w:sz w:val="24"/>
          <w:szCs w:val="24"/>
          <w:lang w:eastAsia="de-DE"/>
        </w:rPr>
        <w:t xml:space="preserve"> zu 3a)</w:t>
      </w:r>
      <w:r w:rsidRPr="007B2307">
        <w:rPr>
          <w:rFonts w:ascii="SPD TheSans SemiLight" w:eastAsia="Times New Roman" w:hAnsi="SPD TheSans SemiLight" w:cs="Arial"/>
          <w:i/>
          <w:iCs/>
          <w:sz w:val="24"/>
          <w:szCs w:val="24"/>
          <w:lang w:eastAsia="de-DE"/>
        </w:rPr>
        <w:t>: </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1. Im Genossenschaftswesen entscheidet nicht die Höhe der Einlage/Beteiligung, sondern es gilt ausnahmslos das Prinzip: ein Mitglied hat eine Stimme.  Hier kann also nicht die Kapitalstärke die Mitglieder überstimmen.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2. Mitglieder von Wohnungsbaugenossenschaften können nicht wegen Eigenbedarf aus der Wohnung gekündigt werden.</w:t>
      </w:r>
    </w:p>
    <w:p w:rsidR="007B2307" w:rsidRPr="004450BB" w:rsidRDefault="007B2307" w:rsidP="007B2307">
      <w:pPr>
        <w:spacing w:line="255" w:lineRule="atLeast"/>
        <w:rPr>
          <w:rFonts w:ascii="SPD TheSans SemiLight" w:eastAsia="Times New Roman" w:hAnsi="SPD TheSans SemiLight" w:cs="Arial"/>
          <w:sz w:val="24"/>
          <w:szCs w:val="24"/>
          <w:lang w:eastAsia="de-DE"/>
        </w:rPr>
      </w:pPr>
      <w:r w:rsidRPr="007B2307">
        <w:rPr>
          <w:rFonts w:ascii="SPD TheSans SemiLight" w:eastAsia="Times New Roman" w:hAnsi="SPD TheSans SemiLight" w:cs="Arial"/>
          <w:i/>
          <w:iCs/>
          <w:sz w:val="24"/>
          <w:szCs w:val="24"/>
          <w:lang w:eastAsia="de-DE"/>
        </w:rPr>
        <w:t>3. Aus dem Genossenschaftsgesetz ergibt sich das Ziel der Genossenschaften: Die Interessen der Genossenschaftsmitglieder zu wahren und zu fördern.</w:t>
      </w:r>
    </w:p>
    <w:p w:rsidR="007B2307" w:rsidRPr="007B2307" w:rsidRDefault="007B2307" w:rsidP="007B2307">
      <w:pPr>
        <w:spacing w:line="255" w:lineRule="atLeast"/>
        <w:rPr>
          <w:rFonts w:ascii="SPD TheSans SemiLight" w:hAnsi="SPD TheSans SemiLight"/>
          <w:color w:val="000000"/>
          <w:sz w:val="32"/>
          <w:szCs w:val="32"/>
        </w:rPr>
      </w:pPr>
      <w:r w:rsidRPr="007B2307">
        <w:rPr>
          <w:rFonts w:ascii="SPD TheSans SemiLight" w:eastAsia="Times New Roman" w:hAnsi="SPD TheSans SemiLight" w:cs="Arial"/>
          <w:i/>
          <w:iCs/>
          <w:sz w:val="24"/>
          <w:szCs w:val="24"/>
          <w:lang w:eastAsia="de-DE"/>
        </w:rPr>
        <w:t> 4. "Luxus-Sanierungen" können in der Satzung der Genossenschaft oder bei den Mitgliederversammlungen ausgeschlossen werden. </w:t>
      </w:r>
      <w:r w:rsidRPr="007B2307">
        <w:rPr>
          <w:rFonts w:ascii="SPD TheSans SemiLight" w:eastAsia="Times New Roman" w:hAnsi="SPD TheSans SemiLight" w:cs="Arial"/>
          <w:sz w:val="24"/>
          <w:szCs w:val="24"/>
          <w:lang w:eastAsia="de-DE"/>
        </w:rPr>
        <w:t> </w:t>
      </w:r>
    </w:p>
    <w:p w:rsidR="00726DFE" w:rsidRPr="007B2307" w:rsidRDefault="00726DFE" w:rsidP="002F035D">
      <w:pPr>
        <w:rPr>
          <w:rFonts w:ascii="SPD TheSans SemiLight" w:hAnsi="SPD TheSans SemiLight"/>
          <w:color w:val="000000"/>
          <w:sz w:val="32"/>
          <w:szCs w:val="32"/>
        </w:rPr>
      </w:pPr>
    </w:p>
    <w:p w:rsidR="00BA5721" w:rsidRPr="007B2307" w:rsidRDefault="00BA5721" w:rsidP="00BA5721">
      <w:pPr>
        <w:rPr>
          <w:rFonts w:ascii="SPD TheSans SemiLight" w:hAnsi="SPD TheSans SemiLight"/>
          <w:color w:val="000000"/>
          <w:sz w:val="32"/>
          <w:szCs w:val="32"/>
        </w:rPr>
      </w:pPr>
    </w:p>
    <w:sectPr w:rsidR="00BA5721" w:rsidRPr="007B2307" w:rsidSect="002F035D">
      <w:headerReference w:type="default" r:id="rId7"/>
      <w:footerReference w:type="default" r:id="rId8"/>
      <w:pgSz w:w="11906" w:h="16838"/>
      <w:pgMar w:top="851" w:right="113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E39" w:rsidRDefault="00EA6E39" w:rsidP="007B2307">
      <w:r>
        <w:separator/>
      </w:r>
    </w:p>
  </w:endnote>
  <w:endnote w:type="continuationSeparator" w:id="0">
    <w:p w:rsidR="00EA6E39" w:rsidRDefault="00EA6E39" w:rsidP="007B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PD TheSans SemiLight">
    <w:panose1 w:val="00000000000000000000"/>
    <w:charset w:val="00"/>
    <w:family w:val="swiss"/>
    <w:notTrueType/>
    <w:pitch w:val="variable"/>
    <w:sig w:usb0="A00000FF" w:usb1="5000F0FB" w:usb2="00000000" w:usb3="00000000" w:csb0="0000009B" w:csb1="00000000"/>
  </w:font>
  <w:font w:name="Arial">
    <w:panose1 w:val="020B0604020202020204"/>
    <w:charset w:val="00"/>
    <w:family w:val="swiss"/>
    <w:pitch w:val="variable"/>
    <w:sig w:usb0="E0002AFF" w:usb1="C0007843" w:usb2="00000009" w:usb3="00000000" w:csb0="000001FF" w:csb1="00000000"/>
  </w:font>
  <w:font w:name="SPD 2002 TheSans">
    <w:panose1 w:val="020B0503040303060204"/>
    <w:charset w:val="00"/>
    <w:family w:val="swiss"/>
    <w:pitch w:val="variable"/>
    <w:sig w:usb0="80000027" w:usb1="0000004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4471021"/>
      <w:docPartObj>
        <w:docPartGallery w:val="Page Numbers (Bottom of Page)"/>
        <w:docPartUnique/>
      </w:docPartObj>
    </w:sdtPr>
    <w:sdtEndPr/>
    <w:sdtContent>
      <w:sdt>
        <w:sdtPr>
          <w:id w:val="-1769616900"/>
          <w:docPartObj>
            <w:docPartGallery w:val="Page Numbers (Top of Page)"/>
            <w:docPartUnique/>
          </w:docPartObj>
        </w:sdtPr>
        <w:sdtEndPr/>
        <w:sdtContent>
          <w:p w:rsidR="007B2307" w:rsidRDefault="007B2307">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sidR="0005724A">
              <w:rPr>
                <w:b/>
                <w:bCs/>
                <w:noProof/>
              </w:rPr>
              <w:t>4</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05724A">
              <w:rPr>
                <w:b/>
                <w:bCs/>
                <w:noProof/>
              </w:rPr>
              <w:t>4</w:t>
            </w:r>
            <w:r>
              <w:rPr>
                <w:b/>
                <w:bCs/>
                <w:sz w:val="24"/>
                <w:szCs w:val="24"/>
              </w:rPr>
              <w:fldChar w:fldCharType="end"/>
            </w:r>
          </w:p>
        </w:sdtContent>
      </w:sdt>
    </w:sdtContent>
  </w:sdt>
  <w:p w:rsidR="007B2307" w:rsidRDefault="007B230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E39" w:rsidRDefault="00EA6E39" w:rsidP="007B2307">
      <w:r>
        <w:separator/>
      </w:r>
    </w:p>
  </w:footnote>
  <w:footnote w:type="continuationSeparator" w:id="0">
    <w:p w:rsidR="00EA6E39" w:rsidRDefault="00EA6E39" w:rsidP="007B2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307" w:rsidRDefault="007B2307" w:rsidP="007B2307">
    <w:pPr>
      <w:pStyle w:val="Kopfzeile"/>
      <w:jc w:val="center"/>
    </w:pPr>
    <w:r w:rsidRPr="00BA5721">
      <w:rPr>
        <w:rFonts w:ascii="SPD 2002 TheSans" w:hAnsi="SPD 2002 TheSans"/>
        <w:noProof/>
        <w:color w:val="000000"/>
        <w:lang w:eastAsia="de-DE"/>
      </w:rPr>
      <w:drawing>
        <wp:inline distT="0" distB="0" distL="0" distR="0" wp14:anchorId="584F29B5" wp14:editId="6FFFFA77">
          <wp:extent cx="2743200" cy="1676400"/>
          <wp:effectExtent l="0" t="0" r="0" b="0"/>
          <wp:docPr id="2" name="Grafik 2" descr="C:\Users\bindingloma05\Desktop\logo_60plus_print_neu\AG60plus_print\jpg\logo_spd-AG60plus_cmyk_typo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dingloma05\Desktop\logo_60plus_print_neu\AG60plus_print\jpg\logo_spd-AG60plus_cmyk_typo_schwar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76737"/>
    <w:multiLevelType w:val="hybridMultilevel"/>
    <w:tmpl w:val="BDE0E1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0971616"/>
    <w:multiLevelType w:val="hybridMultilevel"/>
    <w:tmpl w:val="EACEA2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6F52C4"/>
    <w:multiLevelType w:val="hybridMultilevel"/>
    <w:tmpl w:val="4D5C2E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A426FDA"/>
    <w:multiLevelType w:val="hybridMultilevel"/>
    <w:tmpl w:val="ECCC0E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21"/>
    <w:rsid w:val="0005724A"/>
    <w:rsid w:val="000D4F98"/>
    <w:rsid w:val="002F035D"/>
    <w:rsid w:val="0032305B"/>
    <w:rsid w:val="00706221"/>
    <w:rsid w:val="00726DFE"/>
    <w:rsid w:val="007B2307"/>
    <w:rsid w:val="008B1C68"/>
    <w:rsid w:val="00BA5721"/>
    <w:rsid w:val="00C44E7A"/>
    <w:rsid w:val="00D87690"/>
    <w:rsid w:val="00EA6E39"/>
    <w:rsid w:val="00F02E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2F4351-DC52-464C-BFEE-6EF0BE3B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A5721"/>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A5721"/>
    <w:pPr>
      <w:ind w:left="720"/>
      <w:contextualSpacing/>
    </w:pPr>
  </w:style>
  <w:style w:type="paragraph" w:styleId="Sprechblasentext">
    <w:name w:val="Balloon Text"/>
    <w:basedOn w:val="Standard"/>
    <w:link w:val="SprechblasentextZchn"/>
    <w:uiPriority w:val="99"/>
    <w:semiHidden/>
    <w:unhideWhenUsed/>
    <w:rsid w:val="00D8769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87690"/>
    <w:rPr>
      <w:rFonts w:ascii="Segoe UI" w:hAnsi="Segoe UI" w:cs="Segoe UI"/>
      <w:sz w:val="18"/>
      <w:szCs w:val="18"/>
    </w:rPr>
  </w:style>
  <w:style w:type="paragraph" w:styleId="Kopfzeile">
    <w:name w:val="header"/>
    <w:basedOn w:val="Standard"/>
    <w:link w:val="KopfzeileZchn"/>
    <w:uiPriority w:val="99"/>
    <w:unhideWhenUsed/>
    <w:rsid w:val="007B2307"/>
    <w:pPr>
      <w:tabs>
        <w:tab w:val="center" w:pos="4536"/>
        <w:tab w:val="right" w:pos="9072"/>
      </w:tabs>
    </w:pPr>
  </w:style>
  <w:style w:type="character" w:customStyle="1" w:styleId="KopfzeileZchn">
    <w:name w:val="Kopfzeile Zchn"/>
    <w:basedOn w:val="Absatz-Standardschriftart"/>
    <w:link w:val="Kopfzeile"/>
    <w:uiPriority w:val="99"/>
    <w:rsid w:val="007B2307"/>
    <w:rPr>
      <w:rFonts w:ascii="Calibri" w:hAnsi="Calibri" w:cs="Times New Roman"/>
    </w:rPr>
  </w:style>
  <w:style w:type="paragraph" w:styleId="Fuzeile">
    <w:name w:val="footer"/>
    <w:basedOn w:val="Standard"/>
    <w:link w:val="FuzeileZchn"/>
    <w:uiPriority w:val="99"/>
    <w:unhideWhenUsed/>
    <w:rsid w:val="007B2307"/>
    <w:pPr>
      <w:tabs>
        <w:tab w:val="center" w:pos="4536"/>
        <w:tab w:val="right" w:pos="9072"/>
      </w:tabs>
    </w:pPr>
  </w:style>
  <w:style w:type="character" w:customStyle="1" w:styleId="FuzeileZchn">
    <w:name w:val="Fußzeile Zchn"/>
    <w:basedOn w:val="Absatz-Standardschriftart"/>
    <w:link w:val="Fuzeile"/>
    <w:uiPriority w:val="99"/>
    <w:rsid w:val="007B230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429833">
      <w:bodyDiv w:val="1"/>
      <w:marLeft w:val="0"/>
      <w:marRight w:val="0"/>
      <w:marTop w:val="0"/>
      <w:marBottom w:val="0"/>
      <w:divBdr>
        <w:top w:val="none" w:sz="0" w:space="0" w:color="auto"/>
        <w:left w:val="none" w:sz="0" w:space="0" w:color="auto"/>
        <w:bottom w:val="none" w:sz="0" w:space="0" w:color="auto"/>
        <w:right w:val="none" w:sz="0" w:space="0" w:color="auto"/>
      </w:divBdr>
      <w:divsChild>
        <w:div w:id="1238977593">
          <w:marLeft w:val="0"/>
          <w:marRight w:val="0"/>
          <w:marTop w:val="0"/>
          <w:marBottom w:val="0"/>
          <w:divBdr>
            <w:top w:val="none" w:sz="0" w:space="0" w:color="auto"/>
            <w:left w:val="none" w:sz="0" w:space="0" w:color="auto"/>
            <w:bottom w:val="none" w:sz="0" w:space="0" w:color="auto"/>
            <w:right w:val="none" w:sz="0" w:space="0" w:color="auto"/>
          </w:divBdr>
        </w:div>
      </w:divsChild>
    </w:div>
    <w:div w:id="199387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5103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Deutscher Bundestag</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Binding Lothar Mitarbeiter 05</dc:creator>
  <cp:keywords/>
  <dc:description/>
  <cp:lastModifiedBy>Binding Lothar Mitarbeiter 05</cp:lastModifiedBy>
  <cp:revision>2</cp:revision>
  <cp:lastPrinted>2016-07-07T10:39:00Z</cp:lastPrinted>
  <dcterms:created xsi:type="dcterms:W3CDTF">2016-07-07T16:16:00Z</dcterms:created>
  <dcterms:modified xsi:type="dcterms:W3CDTF">2016-07-07T16:16:00Z</dcterms:modified>
</cp:coreProperties>
</file>